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8DCBB6" w14:textId="0001844F" w:rsidR="00687B88" w:rsidRDefault="00687B88" w:rsidP="00687B88">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w:t>
      </w:r>
      <w:r>
        <w:rPr>
          <w:rFonts w:ascii="Arial" w:eastAsia="MS Mincho" w:hAnsi="Arial" w:cs="Arial"/>
          <w:b/>
          <w:bCs/>
          <w:sz w:val="28"/>
          <w:lang w:eastAsia="ja-JP"/>
        </w:rPr>
        <w:t>8</w:t>
      </w:r>
      <w:r>
        <w:rPr>
          <w:rFonts w:ascii="Arial" w:hAnsi="Arial" w:cs="Arial"/>
          <w:b/>
          <w:bCs/>
          <w:sz w:val="28"/>
        </w:rPr>
        <w:t xml:space="preserve">                 </w:t>
      </w:r>
      <w:r>
        <w:rPr>
          <w:rFonts w:ascii="Arial" w:eastAsia="MS Mincho" w:hAnsi="Arial" w:cs="Arial"/>
          <w:b/>
          <w:bCs/>
          <w:sz w:val="28"/>
          <w:lang w:eastAsia="ja-JP"/>
        </w:rPr>
        <w:t xml:space="preserve">                             </w:t>
      </w:r>
      <w:r w:rsidR="00F2152D" w:rsidRPr="00F2152D">
        <w:rPr>
          <w:rFonts w:ascii="Arial" w:hAnsi="Arial" w:cs="Arial"/>
          <w:b/>
          <w:bCs/>
          <w:sz w:val="28"/>
        </w:rPr>
        <w:t>R1-1702550</w:t>
      </w:r>
      <w:bookmarkStart w:id="2" w:name="_GoBack"/>
      <w:bookmarkEnd w:id="2"/>
    </w:p>
    <w:p w14:paraId="5ACCB2F9" w14:textId="77777777" w:rsidR="00687B88" w:rsidRDefault="00687B88" w:rsidP="00687B8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Pr>
          <w:rFonts w:ascii="Arial" w:hAnsi="Arial" w:cs="Arial"/>
          <w:b/>
          <w:bCs/>
          <w:sz w:val="28"/>
        </w:rPr>
        <w:t xml:space="preserve">, </w:t>
      </w:r>
      <w:r>
        <w:rPr>
          <w:rFonts w:ascii="Arial" w:eastAsia="MS Mincho" w:hAnsi="Arial" w:cs="Arial"/>
          <w:b/>
          <w:bCs/>
          <w:sz w:val="28"/>
          <w:lang w:eastAsia="ja-JP"/>
        </w:rPr>
        <w:t>Greece</w:t>
      </w:r>
      <w:r>
        <w:rPr>
          <w:rFonts w:ascii="Arial" w:hAnsi="Arial" w:cs="Arial"/>
          <w:b/>
          <w:bCs/>
          <w:sz w:val="28"/>
        </w:rPr>
        <w:t xml:space="preserve"> 1</w:t>
      </w:r>
      <w:r>
        <w:rPr>
          <w:rFonts w:ascii="Arial" w:eastAsia="MS Mincho" w:hAnsi="Arial" w:cs="Arial"/>
          <w:b/>
          <w:bCs/>
          <w:sz w:val="28"/>
          <w:lang w:eastAsia="ja-JP"/>
        </w:rPr>
        <w:t>3</w:t>
      </w:r>
      <w:r>
        <w:rPr>
          <w:rFonts w:ascii="Arial" w:hAnsi="Arial" w:cs="Arial"/>
          <w:b/>
          <w:bCs/>
          <w:sz w:val="28"/>
          <w:vertAlign w:val="superscript"/>
        </w:rPr>
        <w:t>th</w:t>
      </w:r>
      <w:r>
        <w:rPr>
          <w:rFonts w:ascii="Arial" w:hAnsi="Arial" w:cs="Arial"/>
          <w:b/>
          <w:bCs/>
          <w:sz w:val="28"/>
        </w:rPr>
        <w:t xml:space="preserve"> - 1</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February</w:t>
      </w:r>
      <w:r>
        <w:rPr>
          <w:rFonts w:ascii="Arial" w:hAnsi="Arial" w:cs="Arial"/>
          <w:b/>
          <w:bCs/>
          <w:sz w:val="28"/>
        </w:rPr>
        <w:t xml:space="preserve"> 201</w:t>
      </w:r>
      <w:r>
        <w:rPr>
          <w:rFonts w:ascii="Arial" w:eastAsia="MS Mincho" w:hAnsi="Arial" w:cs="Arial"/>
          <w:b/>
          <w:bCs/>
          <w:sz w:val="28"/>
          <w:lang w:eastAsia="ja-JP"/>
        </w:rPr>
        <w:t>7</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364548D7"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687B88" w:rsidRPr="00687B88">
        <w:rPr>
          <w:rFonts w:ascii="Arial" w:hAnsi="Arial" w:cs="Arial"/>
          <w:snapToGrid w:val="0"/>
          <w:sz w:val="24"/>
        </w:rPr>
        <w:t>7.2.4.</w:t>
      </w:r>
      <w:r w:rsidR="005B5192">
        <w:rPr>
          <w:rFonts w:ascii="Arial" w:hAnsi="Arial" w:cs="Arial"/>
          <w:snapToGrid w:val="0"/>
          <w:sz w:val="24"/>
        </w:rPr>
        <w:t>3</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0A73FCEC"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5B5192">
        <w:rPr>
          <w:rFonts w:ascii="Arial" w:hAnsi="Arial" w:cs="Arial"/>
          <w:snapToGrid w:val="0"/>
          <w:sz w:val="24"/>
        </w:rPr>
        <w:t>Support of larger TBS and 2 HARQ processes</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08C52417"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47204B">
        <w:rPr>
          <w:rFonts w:ascii="Times New Roman"/>
          <w:i/>
          <w:snapToGrid w:val="0"/>
          <w:kern w:val="0"/>
          <w:sz w:val="22"/>
          <w:szCs w:val="22"/>
          <w:lang w:val="en-GB"/>
        </w:rPr>
        <w:t>enhancements of NB-IoT</w:t>
      </w:r>
      <w:r w:rsidR="0050693F">
        <w:rPr>
          <w:rFonts w:ascii="Times New Roman"/>
          <w:i/>
          <w:snapToGrid w:val="0"/>
          <w:kern w:val="0"/>
          <w:sz w:val="22"/>
          <w:szCs w:val="22"/>
          <w:lang w:val="en-GB"/>
        </w:rPr>
        <w:t xml:space="preserve"> </w:t>
      </w:r>
      <w:r>
        <w:rPr>
          <w:rFonts w:ascii="Times New Roman"/>
          <w:snapToGrid w:val="0"/>
          <w:kern w:val="0"/>
          <w:sz w:val="22"/>
          <w:szCs w:val="22"/>
          <w:lang w:val="en-GB"/>
        </w:rPr>
        <w:t xml:space="preserve"> [1] was introduced. </w:t>
      </w:r>
      <w:r w:rsidR="00FF47FD">
        <w:rPr>
          <w:rFonts w:ascii="Times New Roman"/>
          <w:snapToGrid w:val="0"/>
          <w:kern w:val="0"/>
          <w:sz w:val="22"/>
          <w:szCs w:val="22"/>
          <w:lang w:val="en-GB"/>
        </w:rPr>
        <w:t xml:space="preserve">The objectives of the WI include the support of positioning, multicast, </w:t>
      </w:r>
      <w:r w:rsidR="005B5192">
        <w:rPr>
          <w:rFonts w:ascii="Times New Roman"/>
          <w:snapToGrid w:val="0"/>
          <w:kern w:val="0"/>
          <w:sz w:val="22"/>
          <w:szCs w:val="22"/>
          <w:lang w:val="en-GB"/>
        </w:rPr>
        <w:t>non-anchor PRB enhancements and higher data rates</w:t>
      </w:r>
      <w:r w:rsidR="00FF47FD">
        <w:rPr>
          <w:rFonts w:ascii="Times New Roman"/>
          <w:snapToGrid w:val="0"/>
          <w:kern w:val="0"/>
          <w:sz w:val="22"/>
          <w:szCs w:val="22"/>
          <w:lang w:val="en-GB"/>
        </w:rPr>
        <w:t>.</w:t>
      </w:r>
      <w:r w:rsidR="0053253C">
        <w:rPr>
          <w:rFonts w:ascii="Times New Roman"/>
          <w:snapToGrid w:val="0"/>
          <w:kern w:val="0"/>
          <w:sz w:val="22"/>
          <w:szCs w:val="22"/>
          <w:lang w:val="en-GB"/>
        </w:rPr>
        <w:t xml:space="preserve"> In RAN1#8</w:t>
      </w:r>
      <w:r w:rsidR="005B5192">
        <w:rPr>
          <w:rFonts w:ascii="Times New Roman"/>
          <w:snapToGrid w:val="0"/>
          <w:kern w:val="0"/>
          <w:sz w:val="22"/>
          <w:szCs w:val="22"/>
          <w:lang w:val="en-GB"/>
        </w:rPr>
        <w:t>7</w:t>
      </w:r>
      <w:r w:rsidR="0053253C">
        <w:rPr>
          <w:rFonts w:ascii="Times New Roman"/>
          <w:snapToGrid w:val="0"/>
          <w:kern w:val="0"/>
          <w:sz w:val="22"/>
          <w:szCs w:val="22"/>
          <w:lang w:val="en-GB"/>
        </w:rPr>
        <w:t xml:space="preserve"> the following agreement</w:t>
      </w:r>
      <w:r w:rsidR="005B5192">
        <w:rPr>
          <w:rFonts w:ascii="Times New Roman"/>
          <w:snapToGrid w:val="0"/>
          <w:kern w:val="0"/>
          <w:sz w:val="22"/>
          <w:szCs w:val="22"/>
          <w:lang w:val="en-GB"/>
        </w:rPr>
        <w:t>s</w:t>
      </w:r>
      <w:r w:rsidR="0053253C">
        <w:rPr>
          <w:rFonts w:ascii="Times New Roman"/>
          <w:snapToGrid w:val="0"/>
          <w:kern w:val="0"/>
          <w:sz w:val="22"/>
          <w:szCs w:val="22"/>
          <w:lang w:val="en-GB"/>
        </w:rPr>
        <w:t xml:space="preserve"> </w:t>
      </w:r>
      <w:r w:rsidR="005B5192">
        <w:rPr>
          <w:rFonts w:ascii="Times New Roman"/>
          <w:snapToGrid w:val="0"/>
          <w:kern w:val="0"/>
          <w:sz w:val="22"/>
          <w:szCs w:val="22"/>
          <w:lang w:val="en-GB"/>
        </w:rPr>
        <w:t>were reached:</w:t>
      </w:r>
    </w:p>
    <w:p w14:paraId="0E064260" w14:textId="77777777" w:rsidR="005B5192" w:rsidRPr="005B5192" w:rsidRDefault="005B5192" w:rsidP="00111B9A">
      <w:pPr>
        <w:overflowPunct w:val="0"/>
        <w:adjustRightInd w:val="0"/>
        <w:spacing w:after="120"/>
        <w:contextualSpacing/>
        <w:textAlignment w:val="baseline"/>
        <w:rPr>
          <w:rFonts w:ascii="Times New Roman"/>
          <w:snapToGrid w:val="0"/>
          <w:kern w:val="0"/>
          <w:sz w:val="22"/>
          <w:szCs w:val="22"/>
          <w:lang w:val="en-GB"/>
        </w:rPr>
      </w:pPr>
    </w:p>
    <w:p w14:paraId="572BE44E" w14:textId="77777777" w:rsidR="005B5192" w:rsidRPr="005B5192" w:rsidRDefault="005B5192" w:rsidP="005B5192">
      <w:pPr>
        <w:rPr>
          <w:rFonts w:ascii="Times New Roman" w:eastAsia="MS Mincho"/>
          <w:sz w:val="22"/>
          <w:szCs w:val="22"/>
          <w:highlight w:val="green"/>
          <w:lang w:eastAsia="ja-JP"/>
        </w:rPr>
      </w:pPr>
      <w:r w:rsidRPr="005B5192">
        <w:rPr>
          <w:rFonts w:ascii="Times New Roman" w:eastAsia="MS Mincho"/>
          <w:sz w:val="22"/>
          <w:szCs w:val="22"/>
          <w:highlight w:val="green"/>
          <w:lang w:eastAsia="ja-JP"/>
        </w:rPr>
        <w:t>Agreements</w:t>
      </w:r>
    </w:p>
    <w:p w14:paraId="49E27720" w14:textId="77777777" w:rsidR="005B5192" w:rsidRPr="005B5192" w:rsidRDefault="005B5192" w:rsidP="005B5192">
      <w:pPr>
        <w:widowControl/>
        <w:numPr>
          <w:ilvl w:val="0"/>
          <w:numId w:val="17"/>
        </w:numPr>
        <w:wordWrap/>
        <w:autoSpaceDE/>
        <w:autoSpaceDN/>
        <w:jc w:val="left"/>
        <w:rPr>
          <w:rFonts w:ascii="Times New Roman" w:eastAsia="MS Mincho"/>
          <w:sz w:val="22"/>
          <w:szCs w:val="22"/>
          <w:lang w:eastAsia="ja-JP"/>
        </w:rPr>
      </w:pPr>
      <w:r w:rsidRPr="005B5192">
        <w:rPr>
          <w:rFonts w:ascii="Times New Roman" w:eastAsia="MS Mincho"/>
          <w:sz w:val="22"/>
          <w:szCs w:val="22"/>
          <w:lang w:eastAsia="ja-JP"/>
        </w:rPr>
        <w:t>There is a new NB-IoT UE category with max UL and max DL TBS of 2536 bits</w:t>
      </w:r>
    </w:p>
    <w:p w14:paraId="1000EAF5" w14:textId="77777777" w:rsidR="005B5192" w:rsidRPr="005B5192" w:rsidRDefault="005B5192" w:rsidP="005B5192">
      <w:pPr>
        <w:widowControl/>
        <w:numPr>
          <w:ilvl w:val="0"/>
          <w:numId w:val="17"/>
        </w:numPr>
        <w:wordWrap/>
        <w:autoSpaceDE/>
        <w:autoSpaceDN/>
        <w:jc w:val="left"/>
        <w:rPr>
          <w:rFonts w:ascii="Times New Roman" w:eastAsia="MS Mincho"/>
          <w:sz w:val="22"/>
          <w:szCs w:val="22"/>
          <w:lang w:eastAsia="ja-JP"/>
        </w:rPr>
      </w:pPr>
      <w:r w:rsidRPr="005B5192">
        <w:rPr>
          <w:rFonts w:ascii="Times New Roman" w:eastAsia="MS Mincho"/>
          <w:sz w:val="22"/>
          <w:szCs w:val="22"/>
          <w:lang w:eastAsia="ja-JP"/>
        </w:rPr>
        <w:t xml:space="preserve">Introduce the {1 HARQ + 2536 bits UL/DL TBS} TBS tables in </w:t>
      </w:r>
      <w:hyperlink r:id="rId14" w:history="1">
        <w:r w:rsidRPr="005B5192">
          <w:rPr>
            <w:rStyle w:val="Hyperlink"/>
            <w:rFonts w:ascii="Times New Roman" w:eastAsia="MS Mincho" w:hAnsi="Times New Roman" w:cs="Times New Roman"/>
            <w:sz w:val="22"/>
            <w:szCs w:val="22"/>
            <w:lang w:eastAsia="ja-JP"/>
          </w:rPr>
          <w:t>R1-1613508</w:t>
        </w:r>
      </w:hyperlink>
    </w:p>
    <w:p w14:paraId="0E4274CD" w14:textId="77777777" w:rsidR="005B5192" w:rsidRPr="005B5192" w:rsidRDefault="005B5192" w:rsidP="005B5192">
      <w:pPr>
        <w:widowControl/>
        <w:numPr>
          <w:ilvl w:val="0"/>
          <w:numId w:val="17"/>
        </w:numPr>
        <w:wordWrap/>
        <w:autoSpaceDE/>
        <w:autoSpaceDN/>
        <w:jc w:val="left"/>
        <w:rPr>
          <w:rFonts w:ascii="Times New Roman" w:eastAsia="MS Mincho"/>
          <w:sz w:val="22"/>
          <w:szCs w:val="22"/>
          <w:lang w:eastAsia="ja-JP"/>
        </w:rPr>
      </w:pPr>
      <w:r w:rsidRPr="005B5192">
        <w:rPr>
          <w:rFonts w:ascii="Times New Roman" w:eastAsia="MS Mincho"/>
          <w:sz w:val="22"/>
          <w:szCs w:val="22"/>
          <w:lang w:eastAsia="ja-JP"/>
        </w:rPr>
        <w:t xml:space="preserve">Introduce the {2 HARQ + [1352] bits DL TBS, [1800] bits UL TBS and no change to any Rel-13 specification for NPUSCH} </w:t>
      </w:r>
    </w:p>
    <w:p w14:paraId="26878E01" w14:textId="77777777" w:rsidR="005B5192" w:rsidRPr="005B5192" w:rsidRDefault="005B5192" w:rsidP="005B5192">
      <w:pPr>
        <w:widowControl/>
        <w:numPr>
          <w:ilvl w:val="1"/>
          <w:numId w:val="17"/>
        </w:numPr>
        <w:wordWrap/>
        <w:autoSpaceDE/>
        <w:autoSpaceDN/>
        <w:jc w:val="left"/>
        <w:rPr>
          <w:rFonts w:ascii="Times New Roman" w:eastAsia="MS Mincho"/>
          <w:sz w:val="22"/>
          <w:szCs w:val="22"/>
          <w:lang w:eastAsia="ja-JP"/>
        </w:rPr>
      </w:pPr>
      <w:r w:rsidRPr="005B5192">
        <w:rPr>
          <w:rFonts w:ascii="Times New Roman" w:eastAsia="MS Mincho"/>
          <w:sz w:val="22"/>
          <w:szCs w:val="22"/>
          <w:lang w:eastAsia="ja-JP"/>
        </w:rPr>
        <w:t xml:space="preserve">After receiving one DL grant, Rel-14 UE is required to continue monitoring any NPDCCH search spaces containing candidates ending at least 2 ms (i.e., </w:t>
      </w:r>
      <w:r w:rsidRPr="005B5192">
        <w:rPr>
          <w:rFonts w:ascii="Times New Roman" w:eastAsia="MS Mincho"/>
          <w:i/>
          <w:iCs/>
          <w:sz w:val="22"/>
          <w:szCs w:val="22"/>
          <w:lang w:eastAsia="ja-JP"/>
        </w:rPr>
        <w:t>x</w:t>
      </w:r>
      <w:r w:rsidRPr="005B5192">
        <w:rPr>
          <w:rFonts w:ascii="Times New Roman" w:eastAsia="MS Mincho"/>
          <w:sz w:val="22"/>
          <w:szCs w:val="22"/>
          <w:vertAlign w:val="subscript"/>
          <w:lang w:eastAsia="ja-JP"/>
        </w:rPr>
        <w:t>1</w:t>
      </w:r>
      <w:r w:rsidRPr="005B5192">
        <w:rPr>
          <w:rFonts w:ascii="Times New Roman" w:eastAsia="MS Mincho"/>
          <w:sz w:val="22"/>
          <w:szCs w:val="22"/>
          <w:lang w:eastAsia="ja-JP"/>
        </w:rPr>
        <w:t xml:space="preserve"> ≥ 2 ms) before the start of the first NPDSCH. </w:t>
      </w:r>
    </w:p>
    <w:p w14:paraId="395F7250" w14:textId="77777777" w:rsidR="005B5192" w:rsidRPr="005B5192" w:rsidRDefault="005B5192" w:rsidP="005B5192">
      <w:pPr>
        <w:widowControl/>
        <w:numPr>
          <w:ilvl w:val="1"/>
          <w:numId w:val="17"/>
        </w:numPr>
        <w:wordWrap/>
        <w:autoSpaceDE/>
        <w:autoSpaceDN/>
        <w:jc w:val="left"/>
        <w:rPr>
          <w:rFonts w:ascii="Times New Roman" w:eastAsia="MS Mincho"/>
          <w:sz w:val="22"/>
          <w:szCs w:val="22"/>
          <w:lang w:eastAsia="ja-JP"/>
        </w:rPr>
      </w:pPr>
      <w:r w:rsidRPr="005B5192">
        <w:rPr>
          <w:rFonts w:ascii="Times New Roman" w:eastAsia="MS Mincho"/>
          <w:sz w:val="22"/>
          <w:szCs w:val="22"/>
          <w:lang w:eastAsia="ja-JP"/>
        </w:rPr>
        <w:t xml:space="preserve">The gap between NPUSCH to any DL reception is ≥ 1ms. </w:t>
      </w:r>
    </w:p>
    <w:p w14:paraId="1DB13883" w14:textId="77777777" w:rsidR="005B5192" w:rsidRPr="005B5192" w:rsidRDefault="005B5192" w:rsidP="005B5192">
      <w:pPr>
        <w:widowControl/>
        <w:numPr>
          <w:ilvl w:val="1"/>
          <w:numId w:val="17"/>
        </w:numPr>
        <w:wordWrap/>
        <w:autoSpaceDE/>
        <w:autoSpaceDN/>
        <w:jc w:val="left"/>
        <w:rPr>
          <w:rFonts w:ascii="Times New Roman" w:eastAsia="MS Mincho"/>
          <w:sz w:val="22"/>
          <w:szCs w:val="22"/>
          <w:lang w:eastAsia="ja-JP"/>
        </w:rPr>
      </w:pPr>
      <w:r w:rsidRPr="005B5192">
        <w:rPr>
          <w:rFonts w:ascii="Times New Roman" w:eastAsia="MS Mincho"/>
          <w:sz w:val="22"/>
          <w:szCs w:val="22"/>
          <w:lang w:eastAsia="ja-JP"/>
        </w:rPr>
        <w:t>Reuse Rel-13 timing relationship and scheduling delay values for each of the 2 HARQ processes</w:t>
      </w:r>
    </w:p>
    <w:p w14:paraId="32D1BE13" w14:textId="77777777" w:rsidR="005B5192" w:rsidRPr="005B5192" w:rsidRDefault="005B5192" w:rsidP="005B5192">
      <w:pPr>
        <w:widowControl/>
        <w:numPr>
          <w:ilvl w:val="1"/>
          <w:numId w:val="17"/>
        </w:numPr>
        <w:wordWrap/>
        <w:autoSpaceDE/>
        <w:autoSpaceDN/>
        <w:jc w:val="left"/>
        <w:rPr>
          <w:rFonts w:ascii="Times New Roman" w:eastAsia="MS Mincho"/>
          <w:sz w:val="22"/>
          <w:szCs w:val="22"/>
          <w:lang w:eastAsia="ja-JP"/>
        </w:rPr>
      </w:pPr>
      <w:r w:rsidRPr="005B5192">
        <w:rPr>
          <w:rFonts w:ascii="Times New Roman" w:eastAsia="MS Mincho"/>
          <w:sz w:val="22"/>
          <w:szCs w:val="22"/>
          <w:lang w:eastAsia="ja-JP"/>
        </w:rPr>
        <w:t>HARQ process ID is indicated DL grant DCI with one bit</w:t>
      </w:r>
    </w:p>
    <w:p w14:paraId="3375B97E" w14:textId="77777777" w:rsidR="005B5192" w:rsidRPr="005B5192" w:rsidRDefault="005B5192" w:rsidP="005B5192">
      <w:pPr>
        <w:widowControl/>
        <w:numPr>
          <w:ilvl w:val="2"/>
          <w:numId w:val="17"/>
        </w:numPr>
        <w:wordWrap/>
        <w:autoSpaceDE/>
        <w:autoSpaceDN/>
        <w:jc w:val="left"/>
        <w:rPr>
          <w:rFonts w:ascii="Times New Roman" w:eastAsia="MS Mincho"/>
          <w:sz w:val="22"/>
          <w:szCs w:val="22"/>
          <w:lang w:eastAsia="ja-JP"/>
        </w:rPr>
      </w:pPr>
      <w:r w:rsidRPr="005B5192">
        <w:rPr>
          <w:rFonts w:ascii="Times New Roman" w:eastAsia="MS Mincho"/>
          <w:sz w:val="22"/>
          <w:szCs w:val="22"/>
          <w:lang w:eastAsia="ja-JP"/>
        </w:rPr>
        <w:t>Monitored only in USS</w:t>
      </w:r>
    </w:p>
    <w:p w14:paraId="4659E167" w14:textId="77777777" w:rsidR="005B5192" w:rsidRPr="005B5192" w:rsidRDefault="005B5192" w:rsidP="005B5192">
      <w:pPr>
        <w:widowControl/>
        <w:numPr>
          <w:ilvl w:val="1"/>
          <w:numId w:val="17"/>
        </w:numPr>
        <w:wordWrap/>
        <w:autoSpaceDE/>
        <w:autoSpaceDN/>
        <w:jc w:val="left"/>
        <w:rPr>
          <w:rFonts w:ascii="Times New Roman" w:eastAsia="MS Mincho"/>
          <w:sz w:val="22"/>
          <w:szCs w:val="22"/>
          <w:lang w:eastAsia="ja-JP"/>
        </w:rPr>
      </w:pPr>
      <w:r w:rsidRPr="005B5192">
        <w:rPr>
          <w:rFonts w:ascii="Times New Roman" w:eastAsia="MS Mincho"/>
          <w:sz w:val="22"/>
          <w:szCs w:val="22"/>
          <w:lang w:eastAsia="ja-JP"/>
        </w:rPr>
        <w:t>FFS TBS table details.</w:t>
      </w:r>
    </w:p>
    <w:p w14:paraId="012902F7" w14:textId="77777777" w:rsidR="005B5192" w:rsidRPr="005B5192" w:rsidRDefault="005B5192" w:rsidP="005B5192">
      <w:pPr>
        <w:widowControl/>
        <w:numPr>
          <w:ilvl w:val="0"/>
          <w:numId w:val="17"/>
        </w:numPr>
        <w:wordWrap/>
        <w:autoSpaceDE/>
        <w:autoSpaceDN/>
        <w:jc w:val="left"/>
        <w:rPr>
          <w:rFonts w:ascii="Times New Roman" w:eastAsia="MS Mincho"/>
          <w:sz w:val="22"/>
          <w:szCs w:val="22"/>
          <w:lang w:eastAsia="ja-JP"/>
        </w:rPr>
      </w:pPr>
      <w:r w:rsidRPr="005B5192">
        <w:rPr>
          <w:rFonts w:ascii="Times New Roman" w:eastAsia="MS Mincho"/>
          <w:sz w:val="22"/>
          <w:szCs w:val="22"/>
          <w:lang w:eastAsia="ja-JP"/>
        </w:rPr>
        <w:t>Soft buffer size is FFS until next RAN1#88</w:t>
      </w:r>
    </w:p>
    <w:p w14:paraId="1D636957" w14:textId="77777777" w:rsidR="005B5192" w:rsidRPr="005B5192" w:rsidRDefault="005B5192" w:rsidP="005B5192">
      <w:pPr>
        <w:widowControl/>
        <w:numPr>
          <w:ilvl w:val="0"/>
          <w:numId w:val="17"/>
        </w:numPr>
        <w:wordWrap/>
        <w:autoSpaceDE/>
        <w:autoSpaceDN/>
        <w:jc w:val="left"/>
        <w:rPr>
          <w:rFonts w:ascii="Times New Roman" w:eastAsia="MS Mincho"/>
          <w:sz w:val="22"/>
          <w:szCs w:val="22"/>
          <w:lang w:eastAsia="ja-JP"/>
        </w:rPr>
      </w:pPr>
      <w:r w:rsidRPr="005B5192">
        <w:rPr>
          <w:rFonts w:ascii="Times New Roman" w:eastAsia="MS Mincho"/>
          <w:sz w:val="22"/>
          <w:szCs w:val="22"/>
          <w:lang w:eastAsia="ja-JP"/>
        </w:rPr>
        <w:t>The support of 2 HARQ by UE is an optional capability, signalling is left to RAN2</w:t>
      </w:r>
    </w:p>
    <w:p w14:paraId="6EA3FB69" w14:textId="77777777" w:rsidR="00BC26DE" w:rsidRPr="005B5192" w:rsidRDefault="00BC26DE" w:rsidP="00BC26DE">
      <w:pPr>
        <w:widowControl/>
        <w:wordWrap/>
        <w:autoSpaceDE/>
        <w:autoSpaceDN/>
        <w:jc w:val="left"/>
        <w:rPr>
          <w:rFonts w:ascii="Times New Roman"/>
          <w:snapToGrid w:val="0"/>
          <w:kern w:val="0"/>
          <w:sz w:val="22"/>
          <w:szCs w:val="22"/>
        </w:rPr>
      </w:pPr>
    </w:p>
    <w:p w14:paraId="4AF8E9B7" w14:textId="0BAB307F"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this document we prov</w:t>
      </w:r>
      <w:r w:rsidR="00BC26DE">
        <w:rPr>
          <w:rFonts w:ascii="Times New Roman"/>
          <w:snapToGrid w:val="0"/>
          <w:kern w:val="0"/>
          <w:sz w:val="22"/>
          <w:szCs w:val="22"/>
          <w:lang w:val="en-GB"/>
        </w:rPr>
        <w:t xml:space="preserve">ide our views on the </w:t>
      </w:r>
      <w:r w:rsidR="005B5192">
        <w:rPr>
          <w:rFonts w:ascii="Times New Roman"/>
          <w:snapToGrid w:val="0"/>
          <w:kern w:val="0"/>
          <w:sz w:val="22"/>
          <w:szCs w:val="22"/>
          <w:lang w:val="en-GB"/>
        </w:rPr>
        <w:t>capability and maximum TBS for 2 HARQ processes</w:t>
      </w:r>
    </w:p>
    <w:p w14:paraId="225AC796" w14:textId="77777777" w:rsidR="00D57529" w:rsidRPr="00111B9A" w:rsidRDefault="00D57529" w:rsidP="00D57529">
      <w:pPr>
        <w:pStyle w:val="LGTdoc0"/>
        <w:spacing w:afterLines="0" w:after="120" w:line="240" w:lineRule="auto"/>
        <w:ind w:left="792"/>
        <w:rPr>
          <w:szCs w:val="22"/>
        </w:rPr>
      </w:pPr>
    </w:p>
    <w:p w14:paraId="21C99EB9" w14:textId="60FB7961" w:rsidR="00180683" w:rsidRDefault="005B5192" w:rsidP="00180683">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Maximum TBS for 2 HARQ processes</w:t>
      </w:r>
    </w:p>
    <w:p w14:paraId="53299332" w14:textId="08B8A2A8" w:rsidR="00692DEC" w:rsidRDefault="005B5192" w:rsidP="005B5192">
      <w:pPr>
        <w:pStyle w:val="LGTdoc1"/>
        <w:spacing w:beforeLines="0" w:before="120" w:after="220" w:afterAutospacing="0"/>
        <w:rPr>
          <w:b w:val="0"/>
          <w:sz w:val="22"/>
          <w:szCs w:val="22"/>
        </w:rPr>
      </w:pPr>
      <w:r>
        <w:rPr>
          <w:b w:val="0"/>
          <w:sz w:val="22"/>
          <w:szCs w:val="22"/>
        </w:rPr>
        <w:t>The main benefit of supporting multiple HARQ processes is to enable parallel reception at the UE, i.e., to start processing one transport block while the previous one has not been decoded. The constraint introduced in RAN1#87 about limiting the TBS when operating with 2 HARQ processes has the following disadvantages:</w:t>
      </w:r>
    </w:p>
    <w:p w14:paraId="148D3861" w14:textId="41803372" w:rsidR="005B5192" w:rsidRDefault="005B5192" w:rsidP="005B5192">
      <w:pPr>
        <w:pStyle w:val="LGTdoc1"/>
        <w:spacing w:beforeLines="0" w:before="120" w:after="220" w:afterAutospacing="0"/>
        <w:ind w:firstLine="432"/>
        <w:rPr>
          <w:b w:val="0"/>
          <w:sz w:val="22"/>
          <w:szCs w:val="22"/>
        </w:rPr>
      </w:pPr>
      <w:r>
        <w:rPr>
          <w:b w:val="0"/>
          <w:sz w:val="22"/>
          <w:szCs w:val="22"/>
        </w:rPr>
        <w:t xml:space="preserve">- </w:t>
      </w:r>
      <w:r>
        <w:rPr>
          <w:sz w:val="22"/>
          <w:szCs w:val="22"/>
          <w:u w:val="single"/>
        </w:rPr>
        <w:t>Handling of multiple TBS tables:</w:t>
      </w:r>
      <w:r>
        <w:rPr>
          <w:b w:val="0"/>
          <w:sz w:val="22"/>
          <w:szCs w:val="22"/>
        </w:rPr>
        <w:t xml:space="preserve"> It is cumbersome for the UE/eNB to have to handle multiple TBS tables and, therefore, make different scheduling decisions based on the capability of a given UE. Note that, with the current proposal (1352 – 1800 bits) the eNB (and potentially the UE) may need to handle 3 different TBS tables.</w:t>
      </w:r>
    </w:p>
    <w:p w14:paraId="423E60E4" w14:textId="24D84FE1" w:rsidR="005B5192" w:rsidRDefault="005B5192" w:rsidP="005B5192">
      <w:pPr>
        <w:pStyle w:val="LGTdoc1"/>
        <w:spacing w:beforeLines="0" w:before="120" w:after="220" w:afterAutospacing="0"/>
        <w:ind w:firstLine="432"/>
        <w:rPr>
          <w:b w:val="0"/>
          <w:sz w:val="22"/>
          <w:szCs w:val="22"/>
        </w:rPr>
      </w:pPr>
      <w:r>
        <w:rPr>
          <w:b w:val="0"/>
          <w:sz w:val="22"/>
          <w:szCs w:val="22"/>
        </w:rPr>
        <w:t xml:space="preserve">- </w:t>
      </w:r>
      <w:r w:rsidRPr="005B5192">
        <w:rPr>
          <w:sz w:val="22"/>
          <w:szCs w:val="22"/>
          <w:u w:val="single"/>
        </w:rPr>
        <w:t>Reduced data rates</w:t>
      </w:r>
      <w:r>
        <w:rPr>
          <w:sz w:val="22"/>
          <w:szCs w:val="22"/>
          <w:u w:val="single"/>
        </w:rPr>
        <w:t>:</w:t>
      </w:r>
      <w:r>
        <w:rPr>
          <w:b w:val="0"/>
          <w:sz w:val="22"/>
          <w:szCs w:val="22"/>
        </w:rPr>
        <w:t xml:space="preserve"> The support of 2 HARQ processes with decreased TBS will decrease the achievable data rate.</w:t>
      </w:r>
    </w:p>
    <w:p w14:paraId="7491083E" w14:textId="382FE0D8" w:rsidR="005B5192" w:rsidRDefault="005B5192" w:rsidP="005B5192">
      <w:pPr>
        <w:pStyle w:val="LGTdoc1"/>
        <w:spacing w:beforeLines="0" w:before="120" w:after="220" w:afterAutospacing="0"/>
        <w:ind w:firstLine="432"/>
        <w:rPr>
          <w:b w:val="0"/>
          <w:sz w:val="22"/>
          <w:szCs w:val="22"/>
        </w:rPr>
      </w:pPr>
      <w:r>
        <w:rPr>
          <w:b w:val="0"/>
          <w:sz w:val="22"/>
          <w:szCs w:val="22"/>
        </w:rPr>
        <w:t xml:space="preserve">- </w:t>
      </w:r>
      <w:r>
        <w:rPr>
          <w:sz w:val="22"/>
          <w:szCs w:val="22"/>
          <w:u w:val="single"/>
        </w:rPr>
        <w:t>Complexity increase may be justified:</w:t>
      </w:r>
      <w:r>
        <w:rPr>
          <w:sz w:val="22"/>
          <w:szCs w:val="22"/>
        </w:rPr>
        <w:t xml:space="preserve"> </w:t>
      </w:r>
      <w:r>
        <w:rPr>
          <w:b w:val="0"/>
          <w:sz w:val="22"/>
          <w:szCs w:val="22"/>
        </w:rPr>
        <w:t xml:space="preserve">As discussed in previous RAN1 meetings, the additional complexity caused by introducing 2 HARQ processes heavily depends on the UE architecture: UEs that operate with dedicated hardware may be able to easily parallelize the 2 HARQ processes, while those based on DSP/firmware implementation may require higher clock rates to support 2 HARQs. From this point of view, there is no reason to reduce the maximum TBS for 2 HARQ processes, since the UEs that do not </w:t>
      </w:r>
      <w:r>
        <w:rPr>
          <w:b w:val="0"/>
          <w:sz w:val="22"/>
          <w:szCs w:val="22"/>
        </w:rPr>
        <w:lastRenderedPageBreak/>
        <w:t>support it can always signal “single HARQ support”, while the UEs that follow a hardware-based implementation can support the 2 HARQs with reduced increase in complexity.</w:t>
      </w:r>
    </w:p>
    <w:p w14:paraId="420AECEC" w14:textId="77777777" w:rsidR="005B5192" w:rsidRDefault="005B5192" w:rsidP="005B5192">
      <w:pPr>
        <w:pStyle w:val="LGTdoc1"/>
        <w:spacing w:beforeLines="0" w:before="120" w:after="220" w:afterAutospacing="0"/>
        <w:ind w:firstLine="432"/>
        <w:rPr>
          <w:b w:val="0"/>
          <w:sz w:val="22"/>
          <w:szCs w:val="22"/>
        </w:rPr>
      </w:pPr>
    </w:p>
    <w:p w14:paraId="1FD18068" w14:textId="0E6D2003" w:rsidR="005B5192" w:rsidRPr="005B5192" w:rsidRDefault="005B5192" w:rsidP="005B5192">
      <w:pPr>
        <w:pStyle w:val="LGTdoc1"/>
        <w:spacing w:beforeLines="0" w:before="120" w:after="220" w:afterAutospacing="0"/>
        <w:rPr>
          <w:sz w:val="22"/>
          <w:szCs w:val="22"/>
        </w:rPr>
      </w:pPr>
      <w:r w:rsidRPr="005B5192">
        <w:rPr>
          <w:sz w:val="22"/>
          <w:szCs w:val="22"/>
          <w:u w:val="single"/>
        </w:rPr>
        <w:t>Proposal 1</w:t>
      </w:r>
      <w:r>
        <w:rPr>
          <w:sz w:val="22"/>
          <w:szCs w:val="22"/>
          <w:u w:val="single"/>
        </w:rPr>
        <w:t>:</w:t>
      </w:r>
      <w:r>
        <w:rPr>
          <w:sz w:val="22"/>
          <w:szCs w:val="22"/>
        </w:rPr>
        <w:t xml:space="preserve"> The maximum TBS for 2 HARQ processes is 2536 for both UL and DL, </w:t>
      </w:r>
      <w:r w:rsidRPr="005B5192">
        <w:rPr>
          <w:sz w:val="22"/>
          <w:szCs w:val="22"/>
        </w:rPr>
        <w:t>TBS tables in R1-1613508</w:t>
      </w:r>
      <w:r>
        <w:rPr>
          <w:sz w:val="22"/>
          <w:szCs w:val="22"/>
        </w:rPr>
        <w:t>.</w:t>
      </w:r>
    </w:p>
    <w:bookmarkEnd w:id="0"/>
    <w:bookmarkEnd w:id="1"/>
    <w:p w14:paraId="5093BF88" w14:textId="77777777" w:rsidR="0069456C" w:rsidRPr="00C872FE" w:rsidRDefault="0069456C" w:rsidP="006F5C8E">
      <w:pPr>
        <w:pStyle w:val="LGTdoc1"/>
        <w:spacing w:beforeLines="0" w:before="120" w:after="220" w:afterAutospacing="0"/>
        <w:rPr>
          <w:b w:val="0"/>
          <w:sz w:val="22"/>
          <w:szCs w:val="22"/>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04E99910" w:rsidR="007560B7" w:rsidRDefault="00E77804" w:rsidP="00FF47FD">
      <w:pPr>
        <w:pStyle w:val="LGTdoc1"/>
        <w:spacing w:before="120" w:after="220"/>
        <w:rPr>
          <w:b w:val="0"/>
          <w:sz w:val="22"/>
          <w:szCs w:val="22"/>
        </w:rPr>
      </w:pPr>
      <w:r w:rsidRPr="00FF47FD">
        <w:rPr>
          <w:b w:val="0"/>
          <w:sz w:val="22"/>
          <w:szCs w:val="22"/>
        </w:rPr>
        <w:t xml:space="preserve">[1] </w:t>
      </w:r>
      <w:r w:rsidR="0047204B" w:rsidRPr="0047204B">
        <w:rPr>
          <w:b w:val="0"/>
          <w:sz w:val="22"/>
          <w:szCs w:val="22"/>
        </w:rPr>
        <w:t>RP-161324</w:t>
      </w:r>
      <w:r w:rsidRPr="00FF47FD">
        <w:rPr>
          <w:b w:val="0"/>
          <w:sz w:val="22"/>
          <w:szCs w:val="22"/>
        </w:rPr>
        <w:t>, “</w:t>
      </w:r>
      <w:r w:rsidR="0047204B" w:rsidRPr="0047204B">
        <w:rPr>
          <w:b w:val="0"/>
          <w:sz w:val="22"/>
          <w:szCs w:val="22"/>
        </w:rPr>
        <w:t xml:space="preserve">New work item proposal: Enhancements of NB-IoT </w:t>
      </w:r>
      <w:r w:rsidRPr="00FF47FD">
        <w:rPr>
          <w:b w:val="0"/>
          <w:sz w:val="22"/>
          <w:szCs w:val="22"/>
        </w:rPr>
        <w:t>“,</w:t>
      </w:r>
      <w:r w:rsidR="0047204B" w:rsidRPr="0047204B">
        <w:rPr>
          <w:b w:val="0"/>
          <w:sz w:val="22"/>
          <w:szCs w:val="22"/>
        </w:rPr>
        <w:t>Vodafone, Huawei, HiSilicon, Ericsson, Qualcomm</w:t>
      </w:r>
      <w:r w:rsidR="00EF71A8" w:rsidRPr="00FF47FD">
        <w:rPr>
          <w:b w:val="0"/>
          <w:sz w:val="22"/>
          <w:szCs w:val="22"/>
        </w:rPr>
        <w:t xml:space="preserve"> </w:t>
      </w:r>
      <w:r w:rsidR="00FF47FD">
        <w:rPr>
          <w:b w:val="0"/>
          <w:sz w:val="22"/>
          <w:szCs w:val="22"/>
        </w:rPr>
        <w:t xml:space="preserve">3GPP TSG RAN Meeting #72, </w:t>
      </w:r>
      <w:r w:rsidR="00FF47FD" w:rsidRPr="00FF47FD">
        <w:rPr>
          <w:b w:val="0"/>
          <w:sz w:val="22"/>
          <w:szCs w:val="22"/>
        </w:rPr>
        <w:t>Busan, Korea, June 13 - 16, 2016</w:t>
      </w:r>
    </w:p>
    <w:sectPr w:rsidR="007560B7" w:rsidSect="00B47B85">
      <w:footerReference w:type="even" r:id="rId15"/>
      <w:footerReference w:type="default" r:id="rId1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C4FBB" w14:textId="77777777" w:rsidR="009C0E02" w:rsidRDefault="009C0E02">
      <w:r>
        <w:separator/>
      </w:r>
    </w:p>
  </w:endnote>
  <w:endnote w:type="continuationSeparator" w:id="0">
    <w:p w14:paraId="62D6899D" w14:textId="77777777" w:rsidR="009C0E02" w:rsidRDefault="009C0E02">
      <w:r>
        <w:continuationSeparator/>
      </w:r>
    </w:p>
  </w:endnote>
  <w:endnote w:type="continuationNotice" w:id="1">
    <w:p w14:paraId="139D6425" w14:textId="77777777" w:rsidR="009C0E02" w:rsidRDefault="009C0E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2152D">
      <w:rPr>
        <w:rStyle w:val="PageNumber"/>
        <w:noProof/>
      </w:rPr>
      <w:t>2</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3E224" w14:textId="77777777" w:rsidR="009C0E02" w:rsidRDefault="009C0E02">
      <w:r>
        <w:separator/>
      </w:r>
    </w:p>
  </w:footnote>
  <w:footnote w:type="continuationSeparator" w:id="0">
    <w:p w14:paraId="265A8AD1" w14:textId="77777777" w:rsidR="009C0E02" w:rsidRDefault="009C0E02">
      <w:r>
        <w:continuationSeparator/>
      </w:r>
    </w:p>
  </w:footnote>
  <w:footnote w:type="continuationNotice" w:id="1">
    <w:p w14:paraId="71C15EB2" w14:textId="77777777" w:rsidR="009C0E02" w:rsidRDefault="009C0E0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0ADD0367"/>
    <w:multiLevelType w:val="hybridMultilevel"/>
    <w:tmpl w:val="8C621BF8"/>
    <w:lvl w:ilvl="0" w:tplc="0409000B">
      <w:start w:val="1"/>
      <w:numFmt w:val="bullet"/>
      <w:lvlText w:val=""/>
      <w:lvlJc w:val="left"/>
      <w:pPr>
        <w:tabs>
          <w:tab w:val="num" w:pos="720"/>
        </w:tabs>
        <w:ind w:left="720" w:hanging="360"/>
      </w:pPr>
      <w:rPr>
        <w:rFonts w:ascii="Wingdings" w:hAnsi="Wingdings" w:hint="default"/>
        <w:b/>
        <w:i w:val="0"/>
        <w:color w:val="auto"/>
        <w:sz w:val="22"/>
      </w:rPr>
    </w:lvl>
    <w:lvl w:ilvl="1" w:tplc="04090003">
      <w:start w:val="1"/>
      <w:numFmt w:val="bullet"/>
      <w:lvlText w:val="o"/>
      <w:lvlJc w:val="left"/>
      <w:pPr>
        <w:tabs>
          <w:tab w:val="num" w:pos="-5040"/>
        </w:tabs>
        <w:ind w:left="-5040" w:hanging="360"/>
      </w:pPr>
      <w:rPr>
        <w:rFonts w:ascii="Courier New" w:hAnsi="Courier New" w:cs="Courier New" w:hint="default"/>
      </w:rPr>
    </w:lvl>
    <w:lvl w:ilvl="2" w:tplc="04090005">
      <w:start w:val="1"/>
      <w:numFmt w:val="bullet"/>
      <w:lvlText w:val=""/>
      <w:lvlJc w:val="left"/>
      <w:pPr>
        <w:tabs>
          <w:tab w:val="num" w:pos="-4320"/>
        </w:tabs>
        <w:ind w:left="-432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2160"/>
        </w:tabs>
        <w:ind w:left="-2160" w:hanging="360"/>
      </w:pPr>
      <w:rPr>
        <w:rFonts w:ascii="Wingdings" w:hAnsi="Wingdings" w:hint="default"/>
      </w:rPr>
    </w:lvl>
    <w:lvl w:ilvl="6" w:tplc="04090001" w:tentative="1">
      <w:start w:val="1"/>
      <w:numFmt w:val="bullet"/>
      <w:lvlText w:val=""/>
      <w:lvlJc w:val="left"/>
      <w:pPr>
        <w:tabs>
          <w:tab w:val="num" w:pos="-1440"/>
        </w:tabs>
        <w:ind w:left="-1440" w:hanging="360"/>
      </w:pPr>
      <w:rPr>
        <w:rFonts w:ascii="Symbol" w:hAnsi="Symbol" w:hint="default"/>
      </w:rPr>
    </w:lvl>
    <w:lvl w:ilvl="7" w:tplc="04090003" w:tentative="1">
      <w:start w:val="1"/>
      <w:numFmt w:val="bullet"/>
      <w:lvlText w:val="o"/>
      <w:lvlJc w:val="left"/>
      <w:pPr>
        <w:tabs>
          <w:tab w:val="num" w:pos="-720"/>
        </w:tabs>
        <w:ind w:left="-720" w:hanging="360"/>
      </w:pPr>
      <w:rPr>
        <w:rFonts w:ascii="Courier New" w:hAnsi="Courier New" w:cs="Courier New" w:hint="default"/>
      </w:rPr>
    </w:lvl>
    <w:lvl w:ilvl="8" w:tplc="04090005" w:tentative="1">
      <w:start w:val="1"/>
      <w:numFmt w:val="bullet"/>
      <w:lvlText w:val=""/>
      <w:lvlJc w:val="left"/>
      <w:pPr>
        <w:tabs>
          <w:tab w:val="num" w:pos="0"/>
        </w:tabs>
        <w:ind w:left="0" w:hanging="360"/>
      </w:pPr>
      <w:rPr>
        <w:rFonts w:ascii="Wingdings" w:hAnsi="Wingdings" w:hint="default"/>
      </w:rPr>
    </w:lvl>
  </w:abstractNum>
  <w:abstractNum w:abstractNumId="2"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23D7213B"/>
    <w:multiLevelType w:val="hybridMultilevel"/>
    <w:tmpl w:val="1A3CE96E"/>
    <w:lvl w:ilvl="0" w:tplc="3A6EF7EE">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120AC8"/>
    <w:multiLevelType w:val="hybridMultilevel"/>
    <w:tmpl w:val="6FB0317A"/>
    <w:lvl w:ilvl="0" w:tplc="DFE60A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35F07766"/>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2635BAD"/>
    <w:multiLevelType w:val="hybridMultilevel"/>
    <w:tmpl w:val="E132BBC6"/>
    <w:lvl w:ilvl="0" w:tplc="3076853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0"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11" w15:restartNumberingAfterBreak="0">
    <w:nsid w:val="66C968BF"/>
    <w:multiLevelType w:val="hybridMultilevel"/>
    <w:tmpl w:val="54F81302"/>
    <w:lvl w:ilvl="0" w:tplc="49D4C3E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CAB4E0D2"/>
    <w:lvl w:ilvl="0" w:tplc="62FE4644">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8010"/>
        </w:tabs>
        <w:ind w:left="-8010" w:hanging="360"/>
      </w:pPr>
      <w:rPr>
        <w:rFonts w:ascii="Courier New" w:hAnsi="Courier New" w:cs="Courier New" w:hint="default"/>
      </w:rPr>
    </w:lvl>
    <w:lvl w:ilvl="2" w:tplc="04090005">
      <w:start w:val="1"/>
      <w:numFmt w:val="bullet"/>
      <w:lvlText w:val=""/>
      <w:lvlJc w:val="left"/>
      <w:pPr>
        <w:tabs>
          <w:tab w:val="num" w:pos="-7290"/>
        </w:tabs>
        <w:ind w:left="-7290" w:hanging="360"/>
      </w:pPr>
      <w:rPr>
        <w:rFonts w:ascii="Wingdings" w:hAnsi="Wingdings" w:hint="default"/>
      </w:rPr>
    </w:lvl>
    <w:lvl w:ilvl="3" w:tplc="04090001">
      <w:start w:val="1"/>
      <w:numFmt w:val="bullet"/>
      <w:lvlText w:val=""/>
      <w:lvlJc w:val="left"/>
      <w:pPr>
        <w:tabs>
          <w:tab w:val="num" w:pos="-6570"/>
        </w:tabs>
        <w:ind w:left="-6570" w:hanging="360"/>
      </w:pPr>
      <w:rPr>
        <w:rFonts w:ascii="Symbol" w:hAnsi="Symbol" w:hint="default"/>
      </w:rPr>
    </w:lvl>
    <w:lvl w:ilvl="4" w:tplc="04090003" w:tentative="1">
      <w:start w:val="1"/>
      <w:numFmt w:val="bullet"/>
      <w:lvlText w:val="o"/>
      <w:lvlJc w:val="left"/>
      <w:pPr>
        <w:tabs>
          <w:tab w:val="num" w:pos="-5850"/>
        </w:tabs>
        <w:ind w:left="-5850" w:hanging="360"/>
      </w:pPr>
      <w:rPr>
        <w:rFonts w:ascii="Courier New" w:hAnsi="Courier New" w:cs="Courier New" w:hint="default"/>
      </w:rPr>
    </w:lvl>
    <w:lvl w:ilvl="5" w:tplc="04090005" w:tentative="1">
      <w:start w:val="1"/>
      <w:numFmt w:val="bullet"/>
      <w:lvlText w:val=""/>
      <w:lvlJc w:val="left"/>
      <w:pPr>
        <w:tabs>
          <w:tab w:val="num" w:pos="-5130"/>
        </w:tabs>
        <w:ind w:left="-5130" w:hanging="360"/>
      </w:pPr>
      <w:rPr>
        <w:rFonts w:ascii="Wingdings" w:hAnsi="Wingdings" w:hint="default"/>
      </w:rPr>
    </w:lvl>
    <w:lvl w:ilvl="6" w:tplc="04090001" w:tentative="1">
      <w:start w:val="1"/>
      <w:numFmt w:val="bullet"/>
      <w:lvlText w:val=""/>
      <w:lvlJc w:val="left"/>
      <w:pPr>
        <w:tabs>
          <w:tab w:val="num" w:pos="-4410"/>
        </w:tabs>
        <w:ind w:left="-4410" w:hanging="360"/>
      </w:pPr>
      <w:rPr>
        <w:rFonts w:ascii="Symbol" w:hAnsi="Symbol" w:hint="default"/>
      </w:rPr>
    </w:lvl>
    <w:lvl w:ilvl="7" w:tplc="04090003" w:tentative="1">
      <w:start w:val="1"/>
      <w:numFmt w:val="bullet"/>
      <w:lvlText w:val="o"/>
      <w:lvlJc w:val="left"/>
      <w:pPr>
        <w:tabs>
          <w:tab w:val="num" w:pos="-3690"/>
        </w:tabs>
        <w:ind w:left="-3690" w:hanging="360"/>
      </w:pPr>
      <w:rPr>
        <w:rFonts w:ascii="Courier New" w:hAnsi="Courier New" w:cs="Courier New" w:hint="default"/>
      </w:rPr>
    </w:lvl>
    <w:lvl w:ilvl="8" w:tplc="04090005" w:tentative="1">
      <w:start w:val="1"/>
      <w:numFmt w:val="bullet"/>
      <w:lvlText w:val=""/>
      <w:lvlJc w:val="left"/>
      <w:pPr>
        <w:tabs>
          <w:tab w:val="num" w:pos="-2970"/>
        </w:tabs>
        <w:ind w:left="-2970" w:hanging="360"/>
      </w:pPr>
      <w:rPr>
        <w:rFonts w:ascii="Wingdings" w:hAnsi="Wingdings" w:hint="default"/>
      </w:rPr>
    </w:lvl>
  </w:abstractNum>
  <w:abstractNum w:abstractNumId="13" w15:restartNumberingAfterBreak="0">
    <w:nsid w:val="71330E4C"/>
    <w:multiLevelType w:val="hybridMultilevel"/>
    <w:tmpl w:val="06F89AA8"/>
    <w:lvl w:ilvl="0" w:tplc="B27E082E">
      <w:start w:val="8"/>
      <w:numFmt w:val="bullet"/>
      <w:lvlText w:val="-"/>
      <w:lvlJc w:val="left"/>
      <w:pPr>
        <w:ind w:left="450" w:hanging="360"/>
      </w:pPr>
      <w:rPr>
        <w:rFonts w:ascii="Times New Roman" w:eastAsia="Batang" w:hAnsi="Times New Roman" w:cs="Times New Roman" w:hint="default"/>
        <w:b w:val="0"/>
        <w:sz w:val="22"/>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6"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7"/>
  </w:num>
  <w:num w:numId="2">
    <w:abstractNumId w:val="5"/>
  </w:num>
  <w:num w:numId="3">
    <w:abstractNumId w:val="9"/>
  </w:num>
  <w:num w:numId="4">
    <w:abstractNumId w:val="14"/>
  </w:num>
  <w:num w:numId="5">
    <w:abstractNumId w:val="15"/>
  </w:num>
  <w:num w:numId="6">
    <w:abstractNumId w:val="0"/>
  </w:num>
  <w:num w:numId="7">
    <w:abstractNumId w:val="16"/>
  </w:num>
  <w:num w:numId="8">
    <w:abstractNumId w:val="10"/>
  </w:num>
  <w:num w:numId="9">
    <w:abstractNumId w:val="4"/>
  </w:num>
  <w:num w:numId="10">
    <w:abstractNumId w:val="6"/>
  </w:num>
  <w:num w:numId="11">
    <w:abstractNumId w:val="2"/>
  </w:num>
  <w:num w:numId="12">
    <w:abstractNumId w:val="13"/>
  </w:num>
  <w:num w:numId="13">
    <w:abstractNumId w:val="11"/>
  </w:num>
  <w:num w:numId="14">
    <w:abstractNumId w:val="12"/>
  </w:num>
  <w:num w:numId="15">
    <w:abstractNumId w:val="1"/>
  </w:num>
  <w:num w:numId="16">
    <w:abstractNumId w:val="3"/>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E7"/>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2EF1"/>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6A9"/>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AF5"/>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3"/>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D1C"/>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3E7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150"/>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5EC5"/>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35F"/>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7D7"/>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0B2"/>
    <w:rsid w:val="004415BB"/>
    <w:rsid w:val="004415FC"/>
    <w:rsid w:val="004420F7"/>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04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53C"/>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9EF"/>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192"/>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49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AA"/>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AEA"/>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B88"/>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2DEC"/>
    <w:rsid w:val="006937DF"/>
    <w:rsid w:val="00693FB5"/>
    <w:rsid w:val="0069421A"/>
    <w:rsid w:val="006942D0"/>
    <w:rsid w:val="006944C5"/>
    <w:rsid w:val="0069456C"/>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4FC"/>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C8D"/>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7A6"/>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7EF"/>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4A"/>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0E02"/>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3DF"/>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999"/>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DE"/>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3"/>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2FE"/>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1E"/>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7B9"/>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2BCF"/>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3CB"/>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4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4B"/>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2D"/>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B3"/>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next w:val="Normal"/>
    <w:rsid w:val="00BC26DE"/>
    <w:pPr>
      <w:widowControl/>
      <w:numPr>
        <w:numId w:val="14"/>
      </w:numPr>
      <w:tabs>
        <w:tab w:val="num" w:pos="1800"/>
      </w:tabs>
      <w:wordWrap/>
      <w:autoSpaceDE/>
      <w:autoSpaceDN/>
      <w:spacing w:before="60"/>
      <w:ind w:left="1800"/>
      <w:jc w:val="left"/>
    </w:pPr>
    <w:rPr>
      <w:rFonts w:ascii="Arial" w:eastAsia="MS Mincho" w:hAnsi="Arial"/>
      <w:b/>
      <w:kern w:val="0"/>
      <w:lang w:val="en-GB" w:eastAsia="en-GB"/>
    </w:rPr>
  </w:style>
  <w:style w:type="character" w:styleId="IntenseEmphasis">
    <w:name w:val="Intense Emphasis"/>
    <w:basedOn w:val="DefaultParagraphFont"/>
    <w:qFormat/>
    <w:rsid w:val="00687B88"/>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598429">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2528923">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626538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09442605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Docs/R1-161350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0EB20E-1D1D-401D-BA3C-FC7E8C02ECA1}">
  <ds:schemaRefs>
    <ds:schemaRef ds:uri="http://schemas.openxmlformats.org/officeDocument/2006/bibliography"/>
  </ds:schemaRefs>
</ds:datastoreItem>
</file>

<file path=customXml/itemProps7.xml><?xml version="1.0" encoding="utf-8"?>
<ds:datastoreItem xmlns:ds="http://schemas.openxmlformats.org/officeDocument/2006/customXml" ds:itemID="{D4732CC3-2116-427C-BFAA-1FF32A689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1285</TotalTime>
  <Pages>2</Pages>
  <Words>492</Words>
  <Characters>2808</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42</cp:revision>
  <cp:lastPrinted>2010-08-13T21:54:00Z</cp:lastPrinted>
  <dcterms:created xsi:type="dcterms:W3CDTF">2016-03-22T22:35:00Z</dcterms:created>
  <dcterms:modified xsi:type="dcterms:W3CDTF">2017-02-04T04:48:00Z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